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9BF" w:rsidRDefault="00F539BF" w:rsidP="00EA0A6D">
      <w:pPr>
        <w:widowControl/>
        <w:shd w:val="clear" w:color="auto" w:fill="FFFFFF"/>
        <w:spacing w:line="288" w:lineRule="atLeast"/>
        <w:jc w:val="both"/>
        <w:textAlignment w:val="baseline"/>
        <w:outlineLvl w:val="3"/>
        <w:rPr>
          <w:rFonts w:ascii="inherit" w:eastAsia="微軟正黑體" w:hAnsi="inherit" w:cs="新細明體" w:hint="eastAsia"/>
          <w:b/>
          <w:bCs/>
          <w:color w:val="3C4D3D"/>
          <w:kern w:val="0"/>
          <w:sz w:val="32"/>
          <w:szCs w:val="32"/>
          <w:bdr w:val="none" w:sz="0" w:space="0" w:color="auto" w:frame="1"/>
        </w:rPr>
      </w:pPr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兒童遊戲場法規</w:t>
      </w:r>
    </w:p>
    <w:p w:rsidR="00EA0A6D" w:rsidRPr="00EA0A6D" w:rsidRDefault="00EA0A6D" w:rsidP="00EA0A6D">
      <w:pPr>
        <w:widowControl/>
        <w:shd w:val="clear" w:color="auto" w:fill="FFFFFF"/>
        <w:spacing w:line="288" w:lineRule="atLeast"/>
        <w:jc w:val="both"/>
        <w:textAlignment w:val="baseline"/>
        <w:outlineLvl w:val="3"/>
        <w:rPr>
          <w:rFonts w:ascii="微軟正黑體" w:eastAsia="微軟正黑體" w:hAnsi="微軟正黑體" w:cs="新細明體"/>
          <w:b/>
          <w:bCs/>
          <w:color w:val="3C4D3D"/>
          <w:kern w:val="0"/>
          <w:szCs w:val="24"/>
        </w:rPr>
      </w:pPr>
      <w:r w:rsidRPr="00EA0A6D">
        <w:rPr>
          <w:rFonts w:ascii="inherit" w:eastAsia="微軟正黑體" w:hAnsi="inherit" w:cs="新細明體"/>
          <w:b/>
          <w:bCs/>
          <w:color w:val="3C4D3D"/>
          <w:kern w:val="0"/>
          <w:sz w:val="32"/>
          <w:szCs w:val="32"/>
          <w:bdr w:val="none" w:sz="0" w:space="0" w:color="auto" w:frame="1"/>
        </w:rPr>
        <w:t>台灣遊戲場相關法制的分析</w:t>
      </w:r>
    </w:p>
    <w:p w:rsidR="00EA0A6D" w:rsidRPr="00EA0A6D" w:rsidRDefault="00EA0A6D" w:rsidP="00EA0A6D">
      <w:pPr>
        <w:widowControl/>
        <w:shd w:val="clear" w:color="auto" w:fill="FFFFFF"/>
        <w:jc w:val="both"/>
        <w:textAlignment w:val="baseline"/>
        <w:rPr>
          <w:rFonts w:ascii="微軟正黑體" w:eastAsia="微軟正黑體" w:hAnsi="微軟正黑體" w:cs="新細明體"/>
          <w:color w:val="404040"/>
          <w:kern w:val="0"/>
          <w:sz w:val="27"/>
          <w:szCs w:val="27"/>
        </w:rPr>
      </w:pPr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我國兒童遊戲場法規以「機械或非機械」及「固定與非固定」的組合，作為遊戲設施的分類標準。雖然</w:t>
      </w:r>
      <w:r w:rsidRPr="00D259BB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  <w:u w:val="single"/>
        </w:rPr>
        <w:t>設置於公園及校園附設兒童遊戲場的設施，多為</w:t>
      </w:r>
      <w:r w:rsidRPr="00D259BB">
        <w:rPr>
          <w:rFonts w:ascii="inherit" w:eastAsia="微軟正黑體" w:hAnsi="inherit" w:cs="新細明體"/>
          <w:b/>
          <w:bCs/>
          <w:color w:val="404040"/>
          <w:kern w:val="0"/>
          <w:sz w:val="27"/>
          <w:szCs w:val="27"/>
          <w:u w:val="single"/>
          <w:bdr w:val="none" w:sz="0" w:space="0" w:color="auto" w:frame="1"/>
        </w:rPr>
        <w:t>無動力固定非機械式</w:t>
      </w:r>
      <w:r w:rsidRPr="00D259BB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  <w:u w:val="single"/>
        </w:rPr>
        <w:t>兒童遊戲設施，如溜滑梯、</w:t>
      </w:r>
      <w:proofErr w:type="gramStart"/>
      <w:r w:rsidRPr="00D259BB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  <w:u w:val="single"/>
        </w:rPr>
        <w:t>攀爬架或</w:t>
      </w:r>
      <w:proofErr w:type="gramEnd"/>
      <w:r w:rsidRPr="00D259BB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  <w:u w:val="single"/>
        </w:rPr>
        <w:t>鞦韆等</w:t>
      </w:r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，但隨著社會環境變化與科技發展，無論是機械或非機械、固定或移動、抑或是充氣式遊戲設施，</w:t>
      </w:r>
      <w:proofErr w:type="gramStart"/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皆漸趨</w:t>
      </w:r>
      <w:proofErr w:type="gramEnd"/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創新進步、多元變化，且同一場地亦可能設有不同類型之遊戲設施，所以以下將涵蓋</w:t>
      </w:r>
      <w:bookmarkStart w:id="0" w:name="_GoBack"/>
      <w:r w:rsidRPr="00EA0A6D">
        <w:rPr>
          <w:rFonts w:ascii="inherit" w:eastAsia="微軟正黑體" w:hAnsi="inherit" w:cs="新細明體"/>
          <w:b/>
          <w:bCs/>
          <w:color w:val="404040"/>
          <w:kern w:val="0"/>
          <w:sz w:val="27"/>
          <w:szCs w:val="27"/>
          <w:bdr w:val="none" w:sz="0" w:space="0" w:color="auto" w:frame="1"/>
        </w:rPr>
        <w:t>機械式</w:t>
      </w:r>
      <w:bookmarkEnd w:id="0"/>
      <w:r w:rsidRPr="00EA0A6D">
        <w:rPr>
          <w:rFonts w:ascii="inherit" w:eastAsia="微軟正黑體" w:hAnsi="inherit" w:cs="新細明體"/>
          <w:b/>
          <w:bCs/>
          <w:color w:val="404040"/>
          <w:kern w:val="0"/>
          <w:sz w:val="27"/>
          <w:szCs w:val="27"/>
          <w:bdr w:val="none" w:sz="0" w:space="0" w:color="auto" w:frame="1"/>
        </w:rPr>
        <w:t>遊樂設施</w:t>
      </w:r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與其他</w:t>
      </w:r>
      <w:r w:rsidRPr="00EA0A6D">
        <w:rPr>
          <w:rFonts w:ascii="inherit" w:eastAsia="微軟正黑體" w:hAnsi="inherit" w:cs="新細明體"/>
          <w:b/>
          <w:bCs/>
          <w:color w:val="404040"/>
          <w:kern w:val="0"/>
          <w:sz w:val="27"/>
          <w:szCs w:val="27"/>
          <w:bdr w:val="none" w:sz="0" w:space="0" w:color="auto" w:frame="1"/>
        </w:rPr>
        <w:t>非固定式遊樂設施</w:t>
      </w:r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的有關規範，分析我國法制與兒童權利公約規範的落差，並且提出對兒童遊戲權保障的</w:t>
      </w:r>
      <w:r w:rsidRPr="00EA0A6D">
        <w:rPr>
          <w:rFonts w:ascii="inherit" w:eastAsia="微軟正黑體" w:hAnsi="inherit" w:cs="新細明體"/>
          <w:b/>
          <w:bCs/>
          <w:color w:val="404040"/>
          <w:kern w:val="0"/>
          <w:sz w:val="27"/>
          <w:szCs w:val="27"/>
          <w:bdr w:val="none" w:sz="0" w:space="0" w:color="auto" w:frame="1"/>
        </w:rPr>
        <w:t>三個主要不足之處</w:t>
      </w:r>
      <w:r w:rsidRPr="00EA0A6D">
        <w:rPr>
          <w:rFonts w:ascii="微軟正黑體" w:eastAsia="微軟正黑體" w:hAnsi="微軟正黑體" w:cs="新細明體" w:hint="eastAsia"/>
          <w:color w:val="404040"/>
          <w:kern w:val="0"/>
          <w:sz w:val="27"/>
          <w:szCs w:val="27"/>
        </w:rPr>
        <w:t>：</w:t>
      </w:r>
    </w:p>
    <w:p w:rsidR="008449CC" w:rsidRDefault="008449CC"/>
    <w:p w:rsidR="008F760B" w:rsidRPr="00EA0A6D" w:rsidRDefault="008F760B">
      <w:r>
        <w:rPr>
          <w:rFonts w:ascii="微軟正黑體" w:eastAsia="微軟正黑體" w:hAnsi="微軟正黑體" w:hint="eastAsia"/>
          <w:color w:val="404040"/>
          <w:sz w:val="27"/>
          <w:szCs w:val="27"/>
          <w:shd w:val="clear" w:color="auto" w:fill="FFFFFF"/>
        </w:rPr>
        <w:t>細觀我國現行</w:t>
      </w:r>
      <w:proofErr w:type="gramStart"/>
      <w:r>
        <w:rPr>
          <w:rFonts w:ascii="微軟正黑體" w:eastAsia="微軟正黑體" w:hAnsi="微軟正黑體" w:hint="eastAsia"/>
          <w:color w:val="404040"/>
          <w:sz w:val="27"/>
          <w:szCs w:val="27"/>
          <w:shd w:val="clear" w:color="auto" w:fill="FFFFFF"/>
        </w:rPr>
        <w:t>遊戲遊戲</w:t>
      </w:r>
      <w:proofErr w:type="gramEnd"/>
      <w:r>
        <w:rPr>
          <w:rFonts w:ascii="微軟正黑體" w:eastAsia="微軟正黑體" w:hAnsi="微軟正黑體" w:hint="eastAsia"/>
          <w:color w:val="404040"/>
          <w:sz w:val="27"/>
          <w:szCs w:val="27"/>
          <w:shd w:val="clear" w:color="auto" w:fill="FFFFFF"/>
        </w:rPr>
        <w:t>場相關規範內容，可發現其緊扣管理人員訓練課程、遊戲場設施檢查與安全稽核、事故傷害防制及</w:t>
      </w:r>
      <w:proofErr w:type="gramStart"/>
      <w:r>
        <w:rPr>
          <w:rFonts w:ascii="微軟正黑體" w:eastAsia="微軟正黑體" w:hAnsi="微軟正黑體" w:hint="eastAsia"/>
          <w:color w:val="404040"/>
          <w:sz w:val="27"/>
          <w:szCs w:val="27"/>
          <w:shd w:val="clear" w:color="auto" w:fill="FFFFFF"/>
        </w:rPr>
        <w:t>處遇等安全</w:t>
      </w:r>
      <w:proofErr w:type="gramEnd"/>
      <w:r>
        <w:rPr>
          <w:rFonts w:ascii="微軟正黑體" w:eastAsia="微軟正黑體" w:hAnsi="微軟正黑體" w:hint="eastAsia"/>
          <w:color w:val="404040"/>
          <w:sz w:val="27"/>
          <w:szCs w:val="27"/>
          <w:shd w:val="clear" w:color="auto" w:fill="FFFFFF"/>
        </w:rPr>
        <w:t>性規定，以及遊戲場地及其內設施應符合之技術規格標準。例如，兒童遊戲場設施安全管理規範第 7 條，要求遊戲場設施設置者在該設施開放使用前，應檢具遊戲場基本資料與相關檢驗報告，陳報主管機關備查；而第 12 條則規定兒童遊戲場主管機關，應每年自行或依法委託專業檢查機構、法人或團體進行遊戲場安全稽查業務；其稽查內容，主要以場地與動線的安全 （例如設施四周緩衝距離是否足夠、有無設置設施使用注意事項的告示牌和消防安全設備等）、遊戲設施是否符合 CNS 國家標準以及是否定期從事維護與保養為稽查重點。</w:t>
      </w:r>
    </w:p>
    <w:sectPr w:rsidR="008F760B" w:rsidRPr="00EA0A6D" w:rsidSect="00D259B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D99" w:rsidRDefault="00827D99" w:rsidP="00EA0A6D">
      <w:r>
        <w:separator/>
      </w:r>
    </w:p>
  </w:endnote>
  <w:endnote w:type="continuationSeparator" w:id="0">
    <w:p w:rsidR="00827D99" w:rsidRDefault="00827D99" w:rsidP="00EA0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D99" w:rsidRDefault="00827D99" w:rsidP="00EA0A6D">
      <w:r>
        <w:separator/>
      </w:r>
    </w:p>
  </w:footnote>
  <w:footnote w:type="continuationSeparator" w:id="0">
    <w:p w:rsidR="00827D99" w:rsidRDefault="00827D99" w:rsidP="00EA0A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D90"/>
    <w:rsid w:val="001838F3"/>
    <w:rsid w:val="00400D90"/>
    <w:rsid w:val="00657718"/>
    <w:rsid w:val="00827D99"/>
    <w:rsid w:val="008449CC"/>
    <w:rsid w:val="008F760B"/>
    <w:rsid w:val="00D259BB"/>
    <w:rsid w:val="00EA0A6D"/>
    <w:rsid w:val="00F5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718"/>
    <w:pPr>
      <w:widowControl w:val="0"/>
    </w:pPr>
  </w:style>
  <w:style w:type="paragraph" w:styleId="4">
    <w:name w:val="heading 4"/>
    <w:basedOn w:val="a"/>
    <w:link w:val="40"/>
    <w:uiPriority w:val="9"/>
    <w:qFormat/>
    <w:rsid w:val="00EA0A6D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7718"/>
    <w:pPr>
      <w:widowControl w:val="0"/>
    </w:pPr>
  </w:style>
  <w:style w:type="paragraph" w:styleId="a4">
    <w:name w:val="header"/>
    <w:basedOn w:val="a"/>
    <w:link w:val="a5"/>
    <w:uiPriority w:val="99"/>
    <w:unhideWhenUsed/>
    <w:rsid w:val="00EA0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0A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0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0A6D"/>
    <w:rPr>
      <w:sz w:val="20"/>
      <w:szCs w:val="20"/>
    </w:rPr>
  </w:style>
  <w:style w:type="character" w:customStyle="1" w:styleId="40">
    <w:name w:val="標題 4 字元"/>
    <w:basedOn w:val="a0"/>
    <w:link w:val="4"/>
    <w:uiPriority w:val="9"/>
    <w:rsid w:val="00EA0A6D"/>
    <w:rPr>
      <w:rFonts w:ascii="新細明體" w:eastAsia="新細明體" w:hAnsi="新細明體" w:cs="新細明體"/>
      <w:b/>
      <w:bCs/>
      <w:kern w:val="0"/>
      <w:szCs w:val="24"/>
    </w:rPr>
  </w:style>
  <w:style w:type="character" w:styleId="a8">
    <w:name w:val="Strong"/>
    <w:basedOn w:val="a0"/>
    <w:uiPriority w:val="22"/>
    <w:qFormat/>
    <w:rsid w:val="00EA0A6D"/>
    <w:rPr>
      <w:b/>
      <w:bCs/>
    </w:rPr>
  </w:style>
  <w:style w:type="paragraph" w:styleId="Web">
    <w:name w:val="Normal (Web)"/>
    <w:basedOn w:val="a"/>
    <w:uiPriority w:val="99"/>
    <w:semiHidden/>
    <w:unhideWhenUsed/>
    <w:rsid w:val="00EA0A6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718"/>
    <w:pPr>
      <w:widowControl w:val="0"/>
    </w:pPr>
  </w:style>
  <w:style w:type="paragraph" w:styleId="4">
    <w:name w:val="heading 4"/>
    <w:basedOn w:val="a"/>
    <w:link w:val="40"/>
    <w:uiPriority w:val="9"/>
    <w:qFormat/>
    <w:rsid w:val="00EA0A6D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7718"/>
    <w:pPr>
      <w:widowControl w:val="0"/>
    </w:pPr>
  </w:style>
  <w:style w:type="paragraph" w:styleId="a4">
    <w:name w:val="header"/>
    <w:basedOn w:val="a"/>
    <w:link w:val="a5"/>
    <w:uiPriority w:val="99"/>
    <w:unhideWhenUsed/>
    <w:rsid w:val="00EA0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0A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0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0A6D"/>
    <w:rPr>
      <w:sz w:val="20"/>
      <w:szCs w:val="20"/>
    </w:rPr>
  </w:style>
  <w:style w:type="character" w:customStyle="1" w:styleId="40">
    <w:name w:val="標題 4 字元"/>
    <w:basedOn w:val="a0"/>
    <w:link w:val="4"/>
    <w:uiPriority w:val="9"/>
    <w:rsid w:val="00EA0A6D"/>
    <w:rPr>
      <w:rFonts w:ascii="新細明體" w:eastAsia="新細明體" w:hAnsi="新細明體" w:cs="新細明體"/>
      <w:b/>
      <w:bCs/>
      <w:kern w:val="0"/>
      <w:szCs w:val="24"/>
    </w:rPr>
  </w:style>
  <w:style w:type="character" w:styleId="a8">
    <w:name w:val="Strong"/>
    <w:basedOn w:val="a0"/>
    <w:uiPriority w:val="22"/>
    <w:qFormat/>
    <w:rsid w:val="00EA0A6D"/>
    <w:rPr>
      <w:b/>
      <w:bCs/>
    </w:rPr>
  </w:style>
  <w:style w:type="paragraph" w:styleId="Web">
    <w:name w:val="Normal (Web)"/>
    <w:basedOn w:val="a"/>
    <w:uiPriority w:val="99"/>
    <w:semiHidden/>
    <w:unhideWhenUsed/>
    <w:rsid w:val="00EA0A6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2022-02-09T06:42:00Z</dcterms:created>
  <dcterms:modified xsi:type="dcterms:W3CDTF">2022-02-24T03:57:00Z</dcterms:modified>
</cp:coreProperties>
</file>