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20E" w:rsidRPr="000A79E2" w:rsidRDefault="00AD6621" w:rsidP="000A79E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8690610</wp:posOffset>
                </wp:positionH>
                <wp:positionV relativeFrom="paragraph">
                  <wp:posOffset>21590</wp:posOffset>
                </wp:positionV>
                <wp:extent cx="457200" cy="1158240"/>
                <wp:effectExtent l="0" t="1905" r="381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621" w:rsidRPr="00AD6621" w:rsidRDefault="00AD6621" w:rsidP="00AD662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D662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84.3pt;margin-top:1.7pt;width:36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" stroked="f">
                <v:textbox>
                  <w:txbxContent>
                    <w:p w:rsidR="00AD6621" w:rsidRPr="00AD6621" w:rsidRDefault="00AD6621" w:rsidP="00AD662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D662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A163E4" w:rsidRPr="000A79E2">
        <w:rPr>
          <w:rFonts w:ascii="標楷體" w:eastAsia="標楷體" w:hAnsi="標楷體" w:hint="eastAsia"/>
          <w:b/>
          <w:sz w:val="36"/>
          <w:szCs w:val="36"/>
        </w:rPr>
        <w:t>中華民國醫師公會全國聯合會</w:t>
      </w:r>
    </w:p>
    <w:p w:rsidR="00A163E4" w:rsidRPr="000A79E2" w:rsidRDefault="00A163E4" w:rsidP="000A79E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A79E2">
        <w:rPr>
          <w:rFonts w:ascii="標楷體" w:eastAsia="標楷體" w:hAnsi="標楷體" w:hint="eastAsia"/>
          <w:b/>
          <w:sz w:val="32"/>
          <w:szCs w:val="32"/>
        </w:rPr>
        <w:t>醫師業務責任保險費率</w:t>
      </w:r>
      <w:r w:rsidR="00CA7021" w:rsidRPr="000A79E2">
        <w:rPr>
          <w:rFonts w:ascii="標楷體" w:eastAsia="標楷體" w:hAnsi="標楷體" w:hint="eastAsia"/>
          <w:b/>
          <w:sz w:val="32"/>
          <w:szCs w:val="32"/>
        </w:rPr>
        <w:t>參考</w:t>
      </w:r>
      <w:r w:rsidRPr="000A79E2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708"/>
        <w:gridCol w:w="1830"/>
        <w:gridCol w:w="1831"/>
        <w:gridCol w:w="1831"/>
      </w:tblGrid>
      <w:tr w:rsidR="00A163E4" w:rsidRPr="00E81077" w:rsidTr="00336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Align w:val="center"/>
          </w:tcPr>
          <w:p w:rsidR="00A163E4" w:rsidRPr="00E81077" w:rsidRDefault="00A163E4" w:rsidP="00883D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1077">
              <w:rPr>
                <w:rFonts w:ascii="Times New Roman" w:eastAsia="標楷體" w:hAnsi="標楷體" w:cs="Times New Roman"/>
              </w:rPr>
              <w:t>醫師科別分類表</w:t>
            </w:r>
          </w:p>
        </w:tc>
        <w:tc>
          <w:tcPr>
            <w:tcW w:w="6200" w:type="dxa"/>
            <w:gridSpan w:val="4"/>
            <w:vAlign w:val="center"/>
          </w:tcPr>
          <w:p w:rsidR="00A163E4" w:rsidRPr="00E81077" w:rsidRDefault="00CA7021" w:rsidP="00883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81077">
              <w:rPr>
                <w:rFonts w:ascii="Times New Roman" w:eastAsia="標楷體" w:hAnsi="標楷體" w:cs="Times New Roman"/>
              </w:rPr>
              <w:t>投保方案</w:t>
            </w:r>
            <w:r w:rsidRPr="00E81077">
              <w:rPr>
                <w:rFonts w:ascii="Times New Roman" w:eastAsia="標楷體" w:hAnsi="Times New Roman" w:cs="Times New Roman"/>
              </w:rPr>
              <w:t>-</w:t>
            </w:r>
            <w:r w:rsidR="00A163E4" w:rsidRPr="00E81077">
              <w:rPr>
                <w:rFonts w:ascii="Times New Roman" w:eastAsia="標楷體" w:hAnsi="標楷體" w:cs="Times New Roman"/>
              </w:rPr>
              <w:t>保險金額</w:t>
            </w:r>
            <w:r w:rsidRPr="00E81077">
              <w:rPr>
                <w:rFonts w:ascii="Times New Roman" w:eastAsia="標楷體" w:hAnsi="Times New Roman" w:cs="Times New Roman"/>
              </w:rPr>
              <w:t>(</w:t>
            </w:r>
            <w:r w:rsidRPr="00E81077">
              <w:rPr>
                <w:rFonts w:ascii="Times New Roman" w:eastAsia="標楷體" w:hAnsi="標楷體" w:cs="Times New Roman"/>
              </w:rPr>
              <w:t>追溯日同起保日</w:t>
            </w:r>
            <w:r w:rsidRPr="00E8107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9315F" w:rsidRPr="00E81077" w:rsidTr="0033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09315F" w:rsidRPr="00E81077" w:rsidRDefault="0009315F" w:rsidP="00883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類別</w:t>
            </w:r>
          </w:p>
        </w:tc>
        <w:tc>
          <w:tcPr>
            <w:tcW w:w="6096" w:type="dxa"/>
            <w:vAlign w:val="center"/>
          </w:tcPr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醫師科別</w:t>
            </w:r>
          </w:p>
        </w:tc>
        <w:tc>
          <w:tcPr>
            <w:tcW w:w="708" w:type="dxa"/>
            <w:vMerge w:val="restart"/>
            <w:vAlign w:val="center"/>
          </w:tcPr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年</w:t>
            </w:r>
          </w:p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保</w:t>
            </w:r>
          </w:p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險</w:t>
            </w:r>
          </w:p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費</w:t>
            </w:r>
          </w:p>
        </w:tc>
        <w:tc>
          <w:tcPr>
            <w:tcW w:w="1830" w:type="dxa"/>
            <w:vAlign w:val="center"/>
          </w:tcPr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A.100/250</w:t>
            </w: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萬</w:t>
            </w:r>
          </w:p>
        </w:tc>
        <w:tc>
          <w:tcPr>
            <w:tcW w:w="1831" w:type="dxa"/>
            <w:vAlign w:val="center"/>
          </w:tcPr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B.200/500</w:t>
            </w: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萬</w:t>
            </w:r>
          </w:p>
        </w:tc>
        <w:tc>
          <w:tcPr>
            <w:tcW w:w="1831" w:type="dxa"/>
            <w:vAlign w:val="center"/>
          </w:tcPr>
          <w:p w:rsidR="0009315F" w:rsidRPr="00E81077" w:rsidRDefault="0009315F" w:rsidP="0088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C.300/750</w:t>
            </w:r>
            <w:r w:rsidRPr="00E81077">
              <w:rPr>
                <w:rFonts w:ascii="Times New Roman" w:eastAsia="標楷體" w:hAnsi="標楷體" w:cs="Times New Roman"/>
                <w:b/>
                <w:szCs w:val="24"/>
              </w:rPr>
              <w:t>萬</w:t>
            </w:r>
          </w:p>
        </w:tc>
      </w:tr>
      <w:tr w:rsidR="0033622D" w:rsidRPr="00E81077" w:rsidTr="0033622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33622D" w:rsidRPr="00E81077" w:rsidRDefault="0033622D" w:rsidP="00883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乙類</w:t>
            </w:r>
          </w:p>
        </w:tc>
        <w:tc>
          <w:tcPr>
            <w:tcW w:w="6096" w:type="dxa"/>
          </w:tcPr>
          <w:p w:rsidR="0033622D" w:rsidRDefault="0033622D" w:rsidP="004C5DCA">
            <w:pPr>
              <w:pStyle w:val="TableParagraph"/>
              <w:spacing w:line="223" w:lineRule="auto"/>
              <w:ind w:left="28" w:righ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color w:val="000000"/>
                <w:spacing w:val="-23"/>
                <w:sz w:val="24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2"/>
                <w:sz w:val="24"/>
                <w:szCs w:val="24"/>
              </w:rPr>
              <w:t>一般內科、家庭醫學科、皮膚科、性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23"/>
                <w:sz w:val="24"/>
                <w:szCs w:val="24"/>
              </w:rPr>
              <w:t>病科、病理科、神經內科、</w:t>
            </w:r>
          </w:p>
          <w:p w:rsidR="0033622D" w:rsidRPr="00E81077" w:rsidRDefault="0033622D" w:rsidP="004C5DCA">
            <w:pPr>
              <w:pStyle w:val="TableParagraph"/>
              <w:spacing w:line="223" w:lineRule="auto"/>
              <w:ind w:left="28" w:right="-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23"/>
                <w:sz w:val="24"/>
                <w:szCs w:val="24"/>
              </w:rPr>
              <w:t>胸腔內科、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4"/>
                <w:sz w:val="24"/>
                <w:szCs w:val="24"/>
              </w:rPr>
              <w:t>復健科、感染控制科、檢驗科、一般科、健檢科</w:t>
            </w:r>
          </w:p>
        </w:tc>
        <w:tc>
          <w:tcPr>
            <w:tcW w:w="708" w:type="dxa"/>
            <w:vMerge/>
          </w:tcPr>
          <w:p w:rsidR="0033622D" w:rsidRPr="00E81077" w:rsidRDefault="0033622D" w:rsidP="0009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5,537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8,306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10,521</w:t>
            </w:r>
          </w:p>
        </w:tc>
      </w:tr>
      <w:tr w:rsidR="0033622D" w:rsidRPr="00E81077" w:rsidTr="0033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33622D" w:rsidRPr="00E81077" w:rsidRDefault="0033622D" w:rsidP="00883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丙類</w:t>
            </w:r>
          </w:p>
        </w:tc>
        <w:tc>
          <w:tcPr>
            <w:tcW w:w="6096" w:type="dxa"/>
          </w:tcPr>
          <w:p w:rsidR="0033622D" w:rsidRDefault="0033622D" w:rsidP="004C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標楷體" w:cs="Times New Roman"/>
                <w:b/>
                <w:color w:val="000000"/>
                <w:spacing w:val="-12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9"/>
                <w:szCs w:val="24"/>
              </w:rPr>
              <w:t>小兒科、耳鼻喉科、眼科、精神科、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2"/>
                <w:szCs w:val="24"/>
              </w:rPr>
              <w:t>核醫科、放射線科、</w:t>
            </w:r>
          </w:p>
          <w:p w:rsidR="0033622D" w:rsidRPr="00E81077" w:rsidRDefault="0033622D" w:rsidP="004C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2"/>
                <w:szCs w:val="24"/>
              </w:rPr>
              <w:t>新陳代謝科、腫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3"/>
                <w:szCs w:val="24"/>
              </w:rPr>
              <w:t>瘤科、疼痛科、腎臟科、腸胃科、心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臟科</w:t>
            </w:r>
          </w:p>
        </w:tc>
        <w:tc>
          <w:tcPr>
            <w:tcW w:w="708" w:type="dxa"/>
            <w:vMerge/>
          </w:tcPr>
          <w:p w:rsidR="0033622D" w:rsidRPr="00E81077" w:rsidRDefault="0033622D" w:rsidP="00093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6,768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10,152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12,859</w:t>
            </w:r>
          </w:p>
        </w:tc>
      </w:tr>
      <w:tr w:rsidR="0033622D" w:rsidRPr="00E81077" w:rsidTr="0033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33622D" w:rsidRPr="00E81077" w:rsidRDefault="0033622D" w:rsidP="00883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丁類</w:t>
            </w:r>
          </w:p>
        </w:tc>
        <w:tc>
          <w:tcPr>
            <w:tcW w:w="6096" w:type="dxa"/>
          </w:tcPr>
          <w:p w:rsidR="0033622D" w:rsidRPr="00E81077" w:rsidRDefault="0033622D" w:rsidP="00A1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/>
                <w:spacing w:val="-7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5"/>
                <w:szCs w:val="24"/>
              </w:rPr>
              <w:t>外科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（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7"/>
                <w:szCs w:val="24"/>
              </w:rPr>
              <w:t>一般外科、骨科、小兒外科、胸腔外科、心臟血管、</w:t>
            </w:r>
          </w:p>
          <w:p w:rsidR="0033622D" w:rsidRPr="00E81077" w:rsidRDefault="0033622D" w:rsidP="00A1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7"/>
                <w:szCs w:val="24"/>
              </w:rPr>
              <w:t>大腸直腸外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pacing w:val="-13"/>
                <w:szCs w:val="24"/>
              </w:rPr>
              <w:t>科、整型外科、神經外科、泌尿科</w:t>
            </w:r>
            <w:r w:rsidRPr="00E81077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E81077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、急診科</w:t>
            </w:r>
          </w:p>
        </w:tc>
        <w:tc>
          <w:tcPr>
            <w:tcW w:w="708" w:type="dxa"/>
            <w:vMerge/>
          </w:tcPr>
          <w:p w:rsidR="0033622D" w:rsidRPr="00E81077" w:rsidRDefault="0033622D" w:rsidP="000931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8,306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12,459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15,782</w:t>
            </w:r>
          </w:p>
        </w:tc>
      </w:tr>
      <w:tr w:rsidR="0033622D" w:rsidRPr="00E81077" w:rsidTr="0033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33622D" w:rsidRPr="00E81077" w:rsidRDefault="0033622D" w:rsidP="00883D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戊類</w:t>
            </w:r>
          </w:p>
        </w:tc>
        <w:tc>
          <w:tcPr>
            <w:tcW w:w="6096" w:type="dxa"/>
          </w:tcPr>
          <w:p w:rsidR="0033622D" w:rsidRPr="00E81077" w:rsidRDefault="00336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婦產科、麻醉科</w:t>
            </w:r>
          </w:p>
        </w:tc>
        <w:tc>
          <w:tcPr>
            <w:tcW w:w="708" w:type="dxa"/>
            <w:vMerge/>
          </w:tcPr>
          <w:p w:rsidR="0033622D" w:rsidRPr="00E81077" w:rsidRDefault="0033622D" w:rsidP="00093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12,100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18,151</w:t>
            </w:r>
          </w:p>
        </w:tc>
        <w:tc>
          <w:tcPr>
            <w:tcW w:w="1831" w:type="dxa"/>
            <w:vAlign w:val="center"/>
          </w:tcPr>
          <w:p w:rsidR="0033622D" w:rsidRPr="00E81077" w:rsidRDefault="0033622D" w:rsidP="00581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b/>
                <w:szCs w:val="24"/>
              </w:rPr>
              <w:t>22,991</w:t>
            </w:r>
          </w:p>
        </w:tc>
      </w:tr>
    </w:tbl>
    <w:p w:rsidR="00A163E4" w:rsidRPr="00E81077" w:rsidRDefault="00CA7021" w:rsidP="00BC5B35">
      <w:pPr>
        <w:pStyle w:val="a6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E81077">
        <w:rPr>
          <w:rFonts w:ascii="Times New Roman" w:eastAsia="標楷體" w:hAnsi="標楷體" w:cs="Times New Roman"/>
          <w:szCs w:val="24"/>
        </w:rPr>
        <w:t>上表所載之投保方案自負額為每一事故損失金額之</w:t>
      </w:r>
      <w:r w:rsidRPr="00E81077">
        <w:rPr>
          <w:rFonts w:ascii="Times New Roman" w:eastAsia="標楷體" w:hAnsi="Times New Roman" w:cs="Times New Roman"/>
          <w:szCs w:val="24"/>
        </w:rPr>
        <w:t>10%</w:t>
      </w:r>
      <w:r w:rsidRPr="00E81077">
        <w:rPr>
          <w:rFonts w:ascii="Times New Roman" w:eastAsia="標楷體" w:hAnsi="標楷體" w:cs="Times New Roman"/>
          <w:szCs w:val="24"/>
        </w:rPr>
        <w:t>。</w:t>
      </w:r>
    </w:p>
    <w:p w:rsidR="00CA7021" w:rsidRPr="00E81077" w:rsidRDefault="00CA7021" w:rsidP="00BC5B35">
      <w:pPr>
        <w:pStyle w:val="a6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E81077">
        <w:rPr>
          <w:rFonts w:ascii="Times New Roman" w:eastAsia="標楷體" w:hAnsi="標楷體" w:cs="Times New Roman"/>
          <w:szCs w:val="24"/>
        </w:rPr>
        <w:t>追溯年期加費幅度如下表：</w:t>
      </w:r>
    </w:p>
    <w:tbl>
      <w:tblPr>
        <w:tblStyle w:val="a3"/>
        <w:tblW w:w="0" w:type="auto"/>
        <w:tblInd w:w="401" w:type="dxa"/>
        <w:tblLook w:val="04A0" w:firstRow="1" w:lastRow="0" w:firstColumn="1" w:lastColumn="0" w:noHBand="0" w:noVBand="1"/>
      </w:tblPr>
      <w:tblGrid>
        <w:gridCol w:w="1692"/>
        <w:gridCol w:w="2135"/>
      </w:tblGrid>
      <w:tr w:rsidR="00CA7021" w:rsidRPr="00E81077" w:rsidTr="00240318">
        <w:tc>
          <w:tcPr>
            <w:tcW w:w="1692" w:type="dxa"/>
          </w:tcPr>
          <w:p w:rsidR="00CA7021" w:rsidRPr="00E81077" w:rsidRDefault="00CA7021" w:rsidP="00BC5B35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追溯長度</w:t>
            </w:r>
          </w:p>
        </w:tc>
        <w:tc>
          <w:tcPr>
            <w:tcW w:w="2135" w:type="dxa"/>
          </w:tcPr>
          <w:p w:rsidR="00CA7021" w:rsidRPr="00E81077" w:rsidRDefault="00CA7021" w:rsidP="00BC5B35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加費幅度</w:t>
            </w:r>
          </w:p>
        </w:tc>
      </w:tr>
      <w:tr w:rsidR="00CA7021" w:rsidRPr="00E81077" w:rsidTr="00240318">
        <w:tc>
          <w:tcPr>
            <w:tcW w:w="1692" w:type="dxa"/>
          </w:tcPr>
          <w:p w:rsidR="00CA7021" w:rsidRPr="00E81077" w:rsidRDefault="00CA7021" w:rsidP="00E81077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一年</w:t>
            </w:r>
          </w:p>
        </w:tc>
        <w:tc>
          <w:tcPr>
            <w:tcW w:w="2135" w:type="dxa"/>
          </w:tcPr>
          <w:p w:rsidR="00CA7021" w:rsidRPr="00E81077" w:rsidRDefault="00CA7021" w:rsidP="00BC5B35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szCs w:val="24"/>
              </w:rPr>
              <w:t>39.2%</w:t>
            </w:r>
          </w:p>
        </w:tc>
      </w:tr>
      <w:tr w:rsidR="00CA7021" w:rsidRPr="00E81077" w:rsidTr="00240318">
        <w:tc>
          <w:tcPr>
            <w:tcW w:w="1692" w:type="dxa"/>
          </w:tcPr>
          <w:p w:rsidR="00CA7021" w:rsidRPr="00E81077" w:rsidRDefault="00CA7021" w:rsidP="00E81077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二年</w:t>
            </w:r>
          </w:p>
        </w:tc>
        <w:tc>
          <w:tcPr>
            <w:tcW w:w="2135" w:type="dxa"/>
          </w:tcPr>
          <w:p w:rsidR="00CA7021" w:rsidRPr="00E81077" w:rsidRDefault="00CA7021" w:rsidP="00BC5B35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szCs w:val="24"/>
              </w:rPr>
              <w:t>62.7%</w:t>
            </w:r>
          </w:p>
        </w:tc>
      </w:tr>
      <w:tr w:rsidR="00240318" w:rsidRPr="00E81077" w:rsidTr="00240318">
        <w:tc>
          <w:tcPr>
            <w:tcW w:w="1692" w:type="dxa"/>
          </w:tcPr>
          <w:p w:rsidR="00240318" w:rsidRPr="00E81077" w:rsidRDefault="00240318" w:rsidP="00E81077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標楷體" w:cs="Times New Roman"/>
                <w:szCs w:val="24"/>
              </w:rPr>
              <w:t>三年</w:t>
            </w:r>
          </w:p>
        </w:tc>
        <w:tc>
          <w:tcPr>
            <w:tcW w:w="2135" w:type="dxa"/>
          </w:tcPr>
          <w:p w:rsidR="00240318" w:rsidRPr="00E81077" w:rsidRDefault="00240318" w:rsidP="00BC5B35">
            <w:pPr>
              <w:spacing w:line="3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1077">
              <w:rPr>
                <w:rFonts w:ascii="Times New Roman" w:eastAsia="標楷體" w:hAnsi="Times New Roman" w:cs="Times New Roman"/>
                <w:szCs w:val="24"/>
              </w:rPr>
              <w:t>62.7%</w:t>
            </w:r>
          </w:p>
        </w:tc>
      </w:tr>
    </w:tbl>
    <w:p w:rsidR="000A79E2" w:rsidRPr="000A79E2" w:rsidRDefault="00BA6583" w:rsidP="000A79E2">
      <w:pPr>
        <w:pStyle w:val="a6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保險金額逾</w:t>
      </w:r>
      <w:r>
        <w:rPr>
          <w:rFonts w:ascii="Times New Roman" w:eastAsia="標楷體" w:hAnsi="Times New Roman" w:cs="Times New Roman" w:hint="eastAsia"/>
          <w:szCs w:val="24"/>
        </w:rPr>
        <w:t>300</w:t>
      </w:r>
      <w:r>
        <w:rPr>
          <w:rFonts w:ascii="Times New Roman" w:eastAsia="標楷體" w:hAnsi="Times New Roman" w:cs="Times New Roman" w:hint="eastAsia"/>
          <w:szCs w:val="24"/>
        </w:rPr>
        <w:t>萬者，依此費率架構，另行洽訂。</w:t>
      </w:r>
    </w:p>
    <w:p w:rsidR="000A79E2" w:rsidRPr="000A79E2" w:rsidRDefault="000A79E2" w:rsidP="00BC5B35">
      <w:pPr>
        <w:pStyle w:val="a6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0A79E2">
        <w:rPr>
          <w:rFonts w:ascii="Times New Roman" w:eastAsia="標楷體" w:hAnsi="標楷體" w:cs="Times New Roman"/>
          <w:szCs w:val="24"/>
        </w:rPr>
        <w:t>本保險費費率表得依醫師之過</w:t>
      </w:r>
      <w:r w:rsidRPr="000A79E2">
        <w:rPr>
          <w:rFonts w:ascii="Times New Roman" w:eastAsia="標楷體" w:hAnsi="標楷體" w:cs="Times New Roman" w:hint="eastAsia"/>
          <w:szCs w:val="24"/>
        </w:rPr>
        <w:t>去</w:t>
      </w:r>
      <w:r w:rsidRPr="000A79E2">
        <w:rPr>
          <w:rFonts w:ascii="Times New Roman" w:eastAsia="標楷體" w:hAnsi="標楷體" w:cs="Times New Roman"/>
          <w:szCs w:val="24"/>
        </w:rPr>
        <w:t>損失經驗、執業年資、學歷、平均每日診病次數、醫務器材</w:t>
      </w:r>
      <w:r w:rsidRPr="000A79E2">
        <w:rPr>
          <w:rFonts w:ascii="Times New Roman" w:eastAsia="標楷體" w:hAnsi="標楷體" w:cs="Times New Roman" w:hint="eastAsia"/>
          <w:szCs w:val="24"/>
        </w:rPr>
        <w:t>設</w:t>
      </w:r>
      <w:r w:rsidRPr="000A79E2">
        <w:rPr>
          <w:rFonts w:ascii="Times New Roman" w:eastAsia="標楷體" w:hAnsi="標楷體" w:cs="Times New Roman"/>
          <w:szCs w:val="24"/>
        </w:rPr>
        <w:t>備等因素考</w:t>
      </w:r>
      <w:r w:rsidR="00781CF4">
        <w:rPr>
          <w:rFonts w:ascii="Times New Roman" w:eastAsia="標楷體" w:hAnsi="標楷體" w:cs="Times New Roman" w:hint="eastAsia"/>
          <w:szCs w:val="24"/>
        </w:rPr>
        <w:t>量</w:t>
      </w:r>
      <w:r w:rsidRPr="000A79E2">
        <w:rPr>
          <w:rFonts w:ascii="Times New Roman" w:eastAsia="標楷體" w:hAnsi="標楷體" w:cs="Times New Roman"/>
          <w:szCs w:val="24"/>
        </w:rPr>
        <w:t>加減費</w:t>
      </w:r>
      <w:r w:rsidR="005D3EB9">
        <w:rPr>
          <w:rFonts w:ascii="Times New Roman" w:eastAsia="標楷體" w:hAnsi="標楷體" w:cs="Times New Roman" w:hint="eastAsia"/>
          <w:szCs w:val="24"/>
        </w:rPr>
        <w:t>，加費</w:t>
      </w:r>
      <w:r w:rsidR="00781CF4">
        <w:rPr>
          <w:rFonts w:ascii="Times New Roman" w:eastAsia="標楷體" w:hAnsi="標楷體" w:cs="Times New Roman" w:hint="eastAsia"/>
          <w:szCs w:val="24"/>
        </w:rPr>
        <w:t>幅度上限</w:t>
      </w:r>
      <w:r w:rsidR="005D3EB9">
        <w:rPr>
          <w:rFonts w:ascii="Times New Roman" w:eastAsia="標楷體" w:hAnsi="標楷體" w:cs="Times New Roman" w:hint="eastAsia"/>
          <w:szCs w:val="24"/>
        </w:rPr>
        <w:t>以</w:t>
      </w:r>
      <w:r w:rsidR="005D3EB9">
        <w:rPr>
          <w:rFonts w:ascii="Times New Roman" w:eastAsia="標楷體" w:hAnsi="標楷體" w:cs="Times New Roman" w:hint="eastAsia"/>
          <w:szCs w:val="24"/>
        </w:rPr>
        <w:t>125%</w:t>
      </w:r>
      <w:r w:rsidR="005D3EB9">
        <w:rPr>
          <w:rFonts w:ascii="Times New Roman" w:eastAsia="標楷體" w:hAnsi="標楷體" w:cs="Times New Roman" w:hint="eastAsia"/>
          <w:szCs w:val="24"/>
        </w:rPr>
        <w:t>、減費</w:t>
      </w:r>
      <w:r w:rsidR="00781CF4">
        <w:rPr>
          <w:rFonts w:ascii="Times New Roman" w:eastAsia="標楷體" w:hAnsi="標楷體" w:cs="Times New Roman" w:hint="eastAsia"/>
          <w:szCs w:val="24"/>
        </w:rPr>
        <w:t>幅度下限以</w:t>
      </w:r>
      <w:r w:rsidR="005D3EB9">
        <w:rPr>
          <w:rFonts w:ascii="Times New Roman" w:eastAsia="標楷體" w:hAnsi="標楷體" w:cs="Times New Roman" w:hint="eastAsia"/>
          <w:szCs w:val="24"/>
        </w:rPr>
        <w:t>30%</w:t>
      </w:r>
      <w:r w:rsidR="005D3EB9">
        <w:rPr>
          <w:rFonts w:ascii="Times New Roman" w:eastAsia="標楷體" w:hAnsi="標楷體" w:cs="Times New Roman" w:hint="eastAsia"/>
          <w:szCs w:val="24"/>
        </w:rPr>
        <w:t>為限。</w:t>
      </w:r>
    </w:p>
    <w:p w:rsidR="00CA7021" w:rsidRPr="00E81077" w:rsidRDefault="00CA7021" w:rsidP="00BC5B35">
      <w:pPr>
        <w:pStyle w:val="a6"/>
        <w:numPr>
          <w:ilvl w:val="0"/>
          <w:numId w:val="1"/>
        </w:numPr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E81077">
        <w:rPr>
          <w:rFonts w:ascii="Times New Roman" w:eastAsia="標楷體" w:hAnsi="標楷體" w:cs="Times New Roman"/>
          <w:szCs w:val="24"/>
        </w:rPr>
        <w:t>提供以上費率參考表之</w:t>
      </w:r>
      <w:r w:rsidR="001F3B8B">
        <w:rPr>
          <w:rFonts w:ascii="Times New Roman" w:eastAsia="標楷體" w:hAnsi="標楷體" w:cs="Times New Roman" w:hint="eastAsia"/>
          <w:szCs w:val="24"/>
        </w:rPr>
        <w:t>11</w:t>
      </w:r>
      <w:r w:rsidR="002D75C7" w:rsidRPr="00E81077">
        <w:rPr>
          <w:rFonts w:ascii="Times New Roman" w:eastAsia="標楷體" w:hAnsi="標楷體" w:cs="Times New Roman"/>
          <w:szCs w:val="24"/>
        </w:rPr>
        <w:t>家</w:t>
      </w:r>
      <w:r w:rsidRPr="00E81077">
        <w:rPr>
          <w:rFonts w:ascii="Times New Roman" w:eastAsia="標楷體" w:hAnsi="標楷體" w:cs="Times New Roman"/>
          <w:szCs w:val="24"/>
        </w:rPr>
        <w:t>產物保險公司</w:t>
      </w:r>
      <w:r w:rsidR="00883D55" w:rsidRPr="00E81077">
        <w:rPr>
          <w:rFonts w:ascii="Times New Roman" w:eastAsia="標楷體" w:hAnsi="標楷體" w:cs="Times New Roman"/>
          <w:szCs w:val="24"/>
        </w:rPr>
        <w:t>分別</w:t>
      </w:r>
      <w:r w:rsidRPr="00E81077">
        <w:rPr>
          <w:rFonts w:ascii="Times New Roman" w:eastAsia="標楷體" w:hAnsi="標楷體" w:cs="Times New Roman"/>
          <w:szCs w:val="24"/>
        </w:rPr>
        <w:t>為</w:t>
      </w:r>
      <w:r w:rsidR="00240318" w:rsidRPr="00E81077">
        <w:rPr>
          <w:rFonts w:ascii="Times New Roman" w:eastAsia="標楷體" w:hAnsi="標楷體" w:cs="Times New Roman"/>
          <w:szCs w:val="24"/>
        </w:rPr>
        <w:t>（依筆劃順序排列）</w:t>
      </w:r>
      <w:r w:rsidR="002D75C7" w:rsidRPr="00E81077">
        <w:rPr>
          <w:rFonts w:ascii="Times New Roman" w:eastAsia="標楷體" w:hAnsi="標楷體" w:cs="Times New Roman"/>
          <w:szCs w:val="24"/>
        </w:rPr>
        <w:t>：</w:t>
      </w:r>
    </w:p>
    <w:p w:rsidR="00B535FD" w:rsidRDefault="002D75C7" w:rsidP="00BC5B35">
      <w:pPr>
        <w:spacing w:line="300" w:lineRule="atLeast"/>
        <w:rPr>
          <w:rFonts w:ascii="Times New Roman" w:eastAsia="標楷體" w:hAnsi="標楷體" w:cs="Times New Roman"/>
          <w:bCs/>
          <w:szCs w:val="24"/>
        </w:rPr>
      </w:pPr>
      <w:r w:rsidRPr="00E81077">
        <w:rPr>
          <w:rFonts w:ascii="Times New Roman" w:eastAsia="標楷體" w:hAnsi="Times New Roman" w:cs="Times New Roman"/>
          <w:szCs w:val="24"/>
        </w:rPr>
        <w:t xml:space="preserve">   </w:t>
      </w:r>
      <w:r w:rsidR="00240318" w:rsidRPr="00E81077">
        <w:rPr>
          <w:rFonts w:ascii="Times New Roman" w:eastAsia="標楷體" w:hAnsi="標楷體" w:cs="Times New Roman"/>
          <w:bCs/>
          <w:szCs w:val="24"/>
        </w:rPr>
        <w:t>兆豐產物保險股份有限公司、</w:t>
      </w:r>
      <w:r w:rsidR="00B535FD" w:rsidRPr="00E81077">
        <w:rPr>
          <w:rFonts w:ascii="Times New Roman" w:eastAsia="標楷體" w:hAnsi="標楷體" w:cs="Times New Roman"/>
          <w:bCs/>
          <w:szCs w:val="24"/>
        </w:rPr>
        <w:t>明台產物保險股份有限公司、旺旺友聯產物保險股份有限公司</w:t>
      </w:r>
      <w:r w:rsidR="00B535FD">
        <w:rPr>
          <w:rFonts w:ascii="Times New Roman" w:eastAsia="標楷體" w:hAnsi="標楷體" w:cs="Times New Roman"/>
          <w:bCs/>
          <w:szCs w:val="24"/>
        </w:rPr>
        <w:t>、</w:t>
      </w:r>
      <w:r w:rsidR="00B535FD">
        <w:rPr>
          <w:rFonts w:ascii="Times New Roman" w:eastAsia="標楷體" w:hAnsi="標楷體" w:cs="Times New Roman" w:hint="eastAsia"/>
          <w:bCs/>
          <w:szCs w:val="24"/>
        </w:rPr>
        <w:t>和泰產物保險股份有限公司、</w:t>
      </w:r>
    </w:p>
    <w:p w:rsidR="00240318" w:rsidRPr="00E81077" w:rsidRDefault="00B535FD" w:rsidP="00BC5B35">
      <w:pPr>
        <w:spacing w:line="300" w:lineRule="atLeast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 xml:space="preserve">   </w:t>
      </w:r>
      <w:r>
        <w:rPr>
          <w:rFonts w:ascii="Times New Roman" w:eastAsia="標楷體" w:hAnsi="標楷體" w:cs="Times New Roman" w:hint="eastAsia"/>
          <w:bCs/>
          <w:szCs w:val="24"/>
        </w:rPr>
        <w:t>南山</w:t>
      </w:r>
      <w:r w:rsidR="00240318" w:rsidRPr="00E81077">
        <w:rPr>
          <w:rFonts w:ascii="Times New Roman" w:eastAsia="標楷體" w:hAnsi="標楷體" w:cs="Times New Roman"/>
          <w:bCs/>
          <w:szCs w:val="24"/>
        </w:rPr>
        <w:t>產物保險股份有限公司</w:t>
      </w:r>
      <w:r w:rsidR="002D75C7" w:rsidRPr="00E81077">
        <w:rPr>
          <w:rFonts w:ascii="Times New Roman" w:eastAsia="標楷體" w:hAnsi="標楷體" w:cs="Times New Roman"/>
          <w:bCs/>
          <w:szCs w:val="24"/>
        </w:rPr>
        <w:t>、</w:t>
      </w:r>
      <w:r>
        <w:rPr>
          <w:rFonts w:ascii="Times New Roman" w:eastAsia="標楷體" w:hAnsi="標楷體" w:cs="Times New Roman" w:hint="eastAsia"/>
          <w:bCs/>
          <w:szCs w:val="24"/>
        </w:rPr>
        <w:t>泰安產物保險股份有限公司、華南產物保險股份有限公司、</w:t>
      </w:r>
      <w:r w:rsidR="001F3B8B">
        <w:rPr>
          <w:rFonts w:ascii="Times New Roman" w:eastAsia="標楷體" w:hAnsi="標楷體" w:cs="Times New Roman" w:hint="eastAsia"/>
          <w:bCs/>
          <w:szCs w:val="24"/>
        </w:rPr>
        <w:t>國泰世紀產物保險股份有限公司、</w:t>
      </w:r>
    </w:p>
    <w:p w:rsidR="002D75C7" w:rsidRDefault="001F3B8B" w:rsidP="001F3B8B">
      <w:pPr>
        <w:spacing w:line="300" w:lineRule="atLeast"/>
        <w:ind w:firstLineChars="150" w:firstLine="360"/>
        <w:rPr>
          <w:rFonts w:ascii="Times New Roman" w:eastAsia="標楷體" w:hAnsi="標楷體" w:cs="Times New Roman"/>
          <w:bCs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富邦</w:t>
      </w:r>
      <w:r w:rsidR="002D75C7" w:rsidRPr="00E81077">
        <w:rPr>
          <w:rFonts w:ascii="Times New Roman" w:eastAsia="標楷體" w:hAnsi="標楷體" w:cs="Times New Roman"/>
          <w:bCs/>
          <w:szCs w:val="24"/>
        </w:rPr>
        <w:t>產物保險股份有限公司、</w:t>
      </w:r>
      <w:r>
        <w:rPr>
          <w:rFonts w:ascii="Times New Roman" w:eastAsia="標楷體" w:hAnsi="標楷體" w:cs="Times New Roman" w:hint="eastAsia"/>
          <w:bCs/>
          <w:szCs w:val="24"/>
        </w:rPr>
        <w:t>新光</w:t>
      </w:r>
      <w:r w:rsidR="002D75C7" w:rsidRPr="00E81077">
        <w:rPr>
          <w:rFonts w:ascii="Times New Roman" w:eastAsia="標楷體" w:hAnsi="標楷體" w:cs="Times New Roman"/>
          <w:bCs/>
          <w:szCs w:val="24"/>
        </w:rPr>
        <w:t>產物保險股份有限公司、</w:t>
      </w:r>
      <w:r>
        <w:rPr>
          <w:rFonts w:ascii="Times New Roman" w:eastAsia="標楷體" w:hAnsi="標楷體" w:cs="Times New Roman" w:hint="eastAsia"/>
          <w:bCs/>
          <w:szCs w:val="24"/>
        </w:rPr>
        <w:t>臺灣</w:t>
      </w:r>
      <w:r w:rsidR="002D75C7" w:rsidRPr="00E81077">
        <w:rPr>
          <w:rFonts w:ascii="Times New Roman" w:eastAsia="標楷體" w:hAnsi="標楷體" w:cs="Times New Roman"/>
          <w:bCs/>
          <w:szCs w:val="24"/>
        </w:rPr>
        <w:t>產物保險股份有限公司。</w:t>
      </w:r>
    </w:p>
    <w:p w:rsidR="007E572E" w:rsidRPr="00E81077" w:rsidRDefault="007E572E" w:rsidP="007E572E">
      <w:pPr>
        <w:spacing w:line="300" w:lineRule="atLeas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bCs/>
          <w:szCs w:val="24"/>
        </w:rPr>
        <w:t>107.0</w:t>
      </w:r>
      <w:r w:rsidR="009016CA">
        <w:rPr>
          <w:rFonts w:ascii="Times New Roman" w:eastAsia="標楷體" w:hAnsi="標楷體" w:cs="Times New Roman" w:hint="eastAsia"/>
          <w:bCs/>
          <w:szCs w:val="24"/>
        </w:rPr>
        <w:t>4</w:t>
      </w:r>
    </w:p>
    <w:sectPr w:rsidR="007E572E" w:rsidRPr="00E81077" w:rsidSect="000A79E2">
      <w:pgSz w:w="16838" w:h="11906" w:orient="landscape" w:code="9"/>
      <w:pgMar w:top="794" w:right="1758" w:bottom="794" w:left="1758" w:header="794" w:footer="794" w:gutter="0"/>
      <w:pgBorders w:offsetFrom="page">
        <w:top w:val="single" w:sz="18" w:space="24" w:color="B3CC82" w:themeColor="accent3" w:themeTint="BF"/>
        <w:left w:val="single" w:sz="18" w:space="24" w:color="B3CC82" w:themeColor="accent3" w:themeTint="BF"/>
        <w:bottom w:val="single" w:sz="18" w:space="24" w:color="B3CC82" w:themeColor="accent3" w:themeTint="BF"/>
        <w:right w:val="single" w:sz="18" w:space="24" w:color="B3CC82" w:themeColor="accent3" w:themeTint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60" w:rsidRDefault="006F5A60" w:rsidP="006764BB">
      <w:pPr>
        <w:spacing w:line="240" w:lineRule="auto"/>
      </w:pPr>
      <w:r>
        <w:separator/>
      </w:r>
    </w:p>
  </w:endnote>
  <w:endnote w:type="continuationSeparator" w:id="0">
    <w:p w:rsidR="006F5A60" w:rsidRDefault="006F5A60" w:rsidP="0067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60" w:rsidRDefault="006F5A60" w:rsidP="006764BB">
      <w:pPr>
        <w:spacing w:line="240" w:lineRule="auto"/>
      </w:pPr>
      <w:r>
        <w:separator/>
      </w:r>
    </w:p>
  </w:footnote>
  <w:footnote w:type="continuationSeparator" w:id="0">
    <w:p w:rsidR="006F5A60" w:rsidRDefault="006F5A60" w:rsidP="006764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6AF"/>
    <w:multiLevelType w:val="hybridMultilevel"/>
    <w:tmpl w:val="C7F8FED2"/>
    <w:lvl w:ilvl="0" w:tplc="B8E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E4"/>
    <w:rsid w:val="000213D1"/>
    <w:rsid w:val="0009315F"/>
    <w:rsid w:val="000A79E2"/>
    <w:rsid w:val="000F09CA"/>
    <w:rsid w:val="001F3B8B"/>
    <w:rsid w:val="00240318"/>
    <w:rsid w:val="0024236C"/>
    <w:rsid w:val="002D75C7"/>
    <w:rsid w:val="0033622D"/>
    <w:rsid w:val="00354ED4"/>
    <w:rsid w:val="003E3BB9"/>
    <w:rsid w:val="00494AD7"/>
    <w:rsid w:val="004C5DCA"/>
    <w:rsid w:val="00581DB2"/>
    <w:rsid w:val="005D3EB9"/>
    <w:rsid w:val="00602184"/>
    <w:rsid w:val="00624782"/>
    <w:rsid w:val="006764BB"/>
    <w:rsid w:val="006F5A60"/>
    <w:rsid w:val="00781CF4"/>
    <w:rsid w:val="0078220E"/>
    <w:rsid w:val="007A6BBF"/>
    <w:rsid w:val="007E572E"/>
    <w:rsid w:val="00883D55"/>
    <w:rsid w:val="008E5CEB"/>
    <w:rsid w:val="009016CA"/>
    <w:rsid w:val="009121C2"/>
    <w:rsid w:val="009223F7"/>
    <w:rsid w:val="00931DCA"/>
    <w:rsid w:val="009370D4"/>
    <w:rsid w:val="00A163E4"/>
    <w:rsid w:val="00A74D0B"/>
    <w:rsid w:val="00AD6621"/>
    <w:rsid w:val="00B535FD"/>
    <w:rsid w:val="00BA6583"/>
    <w:rsid w:val="00BC5B35"/>
    <w:rsid w:val="00CA7021"/>
    <w:rsid w:val="00CB2CA6"/>
    <w:rsid w:val="00DB73C9"/>
    <w:rsid w:val="00E81077"/>
    <w:rsid w:val="00EA50F7"/>
    <w:rsid w:val="00EF106C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A163E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A163E4"/>
    <w:pPr>
      <w:autoSpaceDE w:val="0"/>
      <w:autoSpaceDN w:val="0"/>
      <w:jc w:val="center"/>
    </w:pPr>
    <w:rPr>
      <w:rFonts w:ascii="Arial" w:eastAsia="Arial" w:hAnsi="Arial" w:cs="Arial"/>
      <w:kern w:val="0"/>
      <w:sz w:val="22"/>
      <w:lang w:val="zh-TW" w:bidi="zh-TW"/>
    </w:rPr>
  </w:style>
  <w:style w:type="paragraph" w:styleId="a4">
    <w:name w:val="Balloon Text"/>
    <w:basedOn w:val="a"/>
    <w:link w:val="a5"/>
    <w:uiPriority w:val="99"/>
    <w:semiHidden/>
    <w:unhideWhenUsed/>
    <w:rsid w:val="00A163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63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7021"/>
    <w:pPr>
      <w:ind w:leftChars="200" w:left="480"/>
    </w:pPr>
  </w:style>
  <w:style w:type="table" w:styleId="1-2">
    <w:name w:val="Medium Grid 1 Accent 2"/>
    <w:basedOn w:val="a1"/>
    <w:uiPriority w:val="67"/>
    <w:rsid w:val="0009315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7">
    <w:name w:val="header"/>
    <w:basedOn w:val="a"/>
    <w:link w:val="a8"/>
    <w:uiPriority w:val="99"/>
    <w:unhideWhenUsed/>
    <w:rsid w:val="0067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64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64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A163E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A163E4"/>
    <w:pPr>
      <w:autoSpaceDE w:val="0"/>
      <w:autoSpaceDN w:val="0"/>
      <w:jc w:val="center"/>
    </w:pPr>
    <w:rPr>
      <w:rFonts w:ascii="Arial" w:eastAsia="Arial" w:hAnsi="Arial" w:cs="Arial"/>
      <w:kern w:val="0"/>
      <w:sz w:val="22"/>
      <w:lang w:val="zh-TW" w:bidi="zh-TW"/>
    </w:rPr>
  </w:style>
  <w:style w:type="paragraph" w:styleId="a4">
    <w:name w:val="Balloon Text"/>
    <w:basedOn w:val="a"/>
    <w:link w:val="a5"/>
    <w:uiPriority w:val="99"/>
    <w:semiHidden/>
    <w:unhideWhenUsed/>
    <w:rsid w:val="00A163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63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7021"/>
    <w:pPr>
      <w:ind w:leftChars="200" w:left="480"/>
    </w:pPr>
  </w:style>
  <w:style w:type="table" w:styleId="1-2">
    <w:name w:val="Medium Grid 1 Accent 2"/>
    <w:basedOn w:val="a1"/>
    <w:uiPriority w:val="67"/>
    <w:rsid w:val="0009315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7">
    <w:name w:val="header"/>
    <w:basedOn w:val="a"/>
    <w:link w:val="a8"/>
    <w:uiPriority w:val="99"/>
    <w:unhideWhenUsed/>
    <w:rsid w:val="0067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64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64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5043-3D5D-4C84-A814-1E09044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cp:lastPrinted>2018-04-17T09:15:00Z</cp:lastPrinted>
  <dcterms:created xsi:type="dcterms:W3CDTF">2018-05-10T08:38:00Z</dcterms:created>
  <dcterms:modified xsi:type="dcterms:W3CDTF">2018-05-10T08:38:00Z</dcterms:modified>
</cp:coreProperties>
</file>